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26364" r:id="rId10"/>
        </w:object>
      </w: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</w:rPr>
      </w:pP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1D2390">
      <w:pPr>
        <w:framePr w:w="4283" w:h="2478" w:hSpace="851" w:wrap="around" w:vAnchor="page" w:hAnchor="page" w:x="1364" w:y="1142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1D2390">
        <w:trPr>
          <w:trHeight w:val="330"/>
        </w:trPr>
        <w:tc>
          <w:tcPr>
            <w:tcW w:w="568" w:type="dxa"/>
          </w:tcPr>
          <w:p w:rsidR="0086687E" w:rsidRPr="00B223F8" w:rsidRDefault="0086687E" w:rsidP="001D2390">
            <w:pPr>
              <w:framePr w:w="4283" w:h="2478" w:hSpace="851" w:wrap="around" w:vAnchor="page" w:hAnchor="page" w:x="1364" w:y="1142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1D2390" w:rsidRDefault="001D2390" w:rsidP="001D2390">
            <w:pPr>
              <w:framePr w:w="4283" w:h="2478" w:hSpace="851" w:wrap="around" w:vAnchor="page" w:hAnchor="page" w:x="1364" w:y="1142" w:anchorLock="1"/>
              <w:jc w:val="center"/>
            </w:pPr>
            <w:r>
              <w:t>27 ноября 2015 г.</w:t>
            </w:r>
          </w:p>
        </w:tc>
        <w:tc>
          <w:tcPr>
            <w:tcW w:w="567" w:type="dxa"/>
          </w:tcPr>
          <w:p w:rsidR="0086687E" w:rsidRPr="00B223F8" w:rsidRDefault="0086687E" w:rsidP="001D2390">
            <w:pPr>
              <w:framePr w:w="4283" w:h="2478" w:hSpace="851" w:wrap="around" w:vAnchor="page" w:hAnchor="page" w:x="1364" w:y="1142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1D2390" w:rsidP="001D2390">
            <w:pPr>
              <w:framePr w:w="4283" w:h="2478" w:hSpace="851" w:wrap="around" w:vAnchor="page" w:hAnchor="page" w:x="1364" w:y="1142" w:anchorLock="1"/>
              <w:jc w:val="center"/>
            </w:pPr>
            <w:r>
              <w:t>455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1D2390">
      <w:pPr>
        <w:framePr w:w="4283" w:h="2478" w:hSpace="851" w:wrap="around" w:vAnchor="page" w:hAnchor="page" w:x="1364" w:y="1142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503000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</w:tblGrid>
      <w:tr w:rsidR="00BF0CE7" w:rsidRPr="00B223F8" w:rsidTr="001D2390">
        <w:trPr>
          <w:trHeight w:val="641"/>
        </w:trPr>
        <w:tc>
          <w:tcPr>
            <w:tcW w:w="7655" w:type="dxa"/>
            <w:hideMark/>
          </w:tcPr>
          <w:p w:rsidR="00BF0CE7" w:rsidRPr="00B223F8" w:rsidRDefault="00BF0CE7" w:rsidP="001D2390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>тарифов</w:t>
            </w:r>
            <w:r w:rsidR="001D2390">
              <w:rPr>
                <w:b/>
                <w:sz w:val="26"/>
                <w:szCs w:val="26"/>
              </w:rPr>
              <w:t xml:space="preserve"> </w:t>
            </w:r>
            <w:r w:rsidR="00DD3385">
              <w:rPr>
                <w:b/>
                <w:sz w:val="26"/>
                <w:szCs w:val="26"/>
              </w:rPr>
              <w:t>на транспортировку сточных вод</w:t>
            </w:r>
            <w:r w:rsidR="001D2390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DD3385">
              <w:rPr>
                <w:b/>
                <w:sz w:val="26"/>
                <w:szCs w:val="26"/>
              </w:rPr>
              <w:t>мун</w:t>
            </w:r>
            <w:bookmarkStart w:id="0" w:name="_GoBack"/>
            <w:bookmarkEnd w:id="0"/>
            <w:r w:rsidR="00DD3385">
              <w:rPr>
                <w:b/>
                <w:sz w:val="26"/>
                <w:szCs w:val="26"/>
              </w:rPr>
              <w:t>иципального унитарного предприятия «</w:t>
            </w:r>
            <w:proofErr w:type="spellStart"/>
            <w:r w:rsidR="00DD3385">
              <w:rPr>
                <w:b/>
                <w:sz w:val="26"/>
                <w:szCs w:val="26"/>
              </w:rPr>
              <w:t>Калугаспецавтодор</w:t>
            </w:r>
            <w:proofErr w:type="spellEnd"/>
            <w:r w:rsidR="00DD3385">
              <w:rPr>
                <w:b/>
                <w:sz w:val="26"/>
                <w:szCs w:val="26"/>
              </w:rPr>
              <w:t>»</w:t>
            </w:r>
            <w:r w:rsidR="001D2390">
              <w:rPr>
                <w:b/>
                <w:sz w:val="26"/>
                <w:szCs w:val="26"/>
              </w:rPr>
              <w:t xml:space="preserve"> </w:t>
            </w:r>
            <w:r w:rsidR="00AD36E6">
              <w:rPr>
                <w:b/>
                <w:sz w:val="26"/>
                <w:szCs w:val="26"/>
              </w:rPr>
              <w:t>г. Калуги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1D2390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1D2390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1D2390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3068D3">
        <w:rPr>
          <w:sz w:val="26"/>
          <w:szCs w:val="26"/>
        </w:rPr>
        <w:t xml:space="preserve">в части транспортировки поверхностных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503000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503000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503000">
        <w:rPr>
          <w:sz w:val="26"/>
          <w:szCs w:val="26"/>
        </w:rPr>
        <w:t>улирования Калужской области от 27.11.</w:t>
      </w:r>
      <w:r w:rsidR="007F32BA">
        <w:rPr>
          <w:sz w:val="26"/>
          <w:szCs w:val="26"/>
        </w:rPr>
        <w:t>2015 №</w:t>
      </w:r>
      <w:r w:rsidR="001D2390">
        <w:rPr>
          <w:sz w:val="26"/>
          <w:szCs w:val="26"/>
        </w:rPr>
        <w:t xml:space="preserve"> 448</w:t>
      </w:r>
      <w:r w:rsidR="00BF0CE7" w:rsidRPr="00B60FC6">
        <w:rPr>
          <w:sz w:val="26"/>
          <w:szCs w:val="26"/>
        </w:rPr>
        <w:t>-РК «</w:t>
      </w:r>
      <w:r w:rsidR="00571A30" w:rsidRPr="00571A30">
        <w:rPr>
          <w:sz w:val="26"/>
          <w:szCs w:val="26"/>
        </w:rPr>
        <w:t>Об утверждении производственной программы в сфере водоотведения для муниципального унитарного</w:t>
      </w:r>
      <w:proofErr w:type="gramEnd"/>
      <w:r w:rsidR="00571A30" w:rsidRPr="00571A30">
        <w:rPr>
          <w:sz w:val="26"/>
          <w:szCs w:val="26"/>
        </w:rPr>
        <w:t xml:space="preserve"> предприятия «</w:t>
      </w:r>
      <w:proofErr w:type="spellStart"/>
      <w:r w:rsidR="00571A30" w:rsidRPr="00571A30">
        <w:rPr>
          <w:sz w:val="26"/>
          <w:szCs w:val="26"/>
        </w:rPr>
        <w:t>Калугаспецавтодор</w:t>
      </w:r>
      <w:proofErr w:type="spellEnd"/>
      <w:r w:rsidR="00571A30" w:rsidRPr="00571A30">
        <w:rPr>
          <w:sz w:val="26"/>
          <w:szCs w:val="26"/>
        </w:rPr>
        <w:t>»</w:t>
      </w:r>
      <w:r w:rsidR="00AD36E6">
        <w:rPr>
          <w:sz w:val="26"/>
          <w:szCs w:val="26"/>
        </w:rPr>
        <w:t xml:space="preserve"> г. Калуги </w:t>
      </w:r>
      <w:r w:rsidR="00571A30" w:rsidRPr="00571A30">
        <w:rPr>
          <w:sz w:val="26"/>
          <w:szCs w:val="26"/>
        </w:rPr>
        <w:t>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503000">
        <w:rPr>
          <w:sz w:val="26"/>
          <w:szCs w:val="26"/>
        </w:rPr>
        <w:t>27.11.2015</w:t>
      </w:r>
      <w:r w:rsidR="001D2390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1D2390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DD3385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503000">
        <w:rPr>
          <w:sz w:val="26"/>
          <w:szCs w:val="26"/>
        </w:rPr>
        <w:t xml:space="preserve">для </w:t>
      </w:r>
      <w:r w:rsidR="00DD3385">
        <w:rPr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sz w:val="26"/>
          <w:szCs w:val="26"/>
        </w:rPr>
        <w:t>Калугаспецавтодор</w:t>
      </w:r>
      <w:proofErr w:type="spellEnd"/>
      <w:r w:rsidR="00DD3385">
        <w:rPr>
          <w:sz w:val="26"/>
          <w:szCs w:val="26"/>
        </w:rPr>
        <w:t>»</w:t>
      </w:r>
      <w:r w:rsidR="00AD36E6">
        <w:rPr>
          <w:sz w:val="26"/>
          <w:szCs w:val="26"/>
        </w:rPr>
        <w:t xml:space="preserve"> г. Калуги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1D2390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DD3385">
        <w:rPr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sz w:val="26"/>
          <w:szCs w:val="26"/>
        </w:rPr>
        <w:t>Калугаспецавтодор</w:t>
      </w:r>
      <w:proofErr w:type="spellEnd"/>
      <w:r w:rsidR="00DD3385">
        <w:rPr>
          <w:sz w:val="26"/>
          <w:szCs w:val="26"/>
        </w:rPr>
        <w:t>»</w:t>
      </w:r>
      <w:r w:rsidR="00AD36E6">
        <w:rPr>
          <w:sz w:val="26"/>
          <w:szCs w:val="26"/>
        </w:rPr>
        <w:t xml:space="preserve"> г. Калуги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1D2390" w:rsidRDefault="00BF0CE7" w:rsidP="001D2390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1D2390">
        <w:rPr>
          <w:sz w:val="26"/>
          <w:szCs w:val="26"/>
        </w:rPr>
        <w:t>с 1 января 2016 года.</w:t>
      </w:r>
    </w:p>
    <w:p w:rsidR="001D2390" w:rsidRDefault="001D2390" w:rsidP="001D2390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1D2390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D2390">
        <w:rPr>
          <w:sz w:val="26"/>
          <w:szCs w:val="26"/>
        </w:rPr>
        <w:t xml:space="preserve">27.11.2015 </w:t>
      </w:r>
      <w:r w:rsidRPr="00B223F8">
        <w:rPr>
          <w:sz w:val="26"/>
          <w:szCs w:val="26"/>
        </w:rPr>
        <w:t xml:space="preserve">№ </w:t>
      </w:r>
      <w:r w:rsidR="001D2390">
        <w:rPr>
          <w:sz w:val="26"/>
          <w:szCs w:val="26"/>
        </w:rPr>
        <w:t>455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1D2390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DD3385">
        <w:rPr>
          <w:b/>
          <w:sz w:val="26"/>
          <w:szCs w:val="26"/>
        </w:rPr>
        <w:t>на транспортировку сточных вод</w:t>
      </w:r>
    </w:p>
    <w:p w:rsidR="001D2390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DD3385">
        <w:rPr>
          <w:b/>
          <w:spacing w:val="7"/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b/>
          <w:spacing w:val="7"/>
          <w:sz w:val="26"/>
          <w:szCs w:val="26"/>
        </w:rPr>
        <w:t>Калугаспецавтодор</w:t>
      </w:r>
      <w:proofErr w:type="spellEnd"/>
      <w:r w:rsidR="00DD3385">
        <w:rPr>
          <w:b/>
          <w:spacing w:val="7"/>
          <w:sz w:val="26"/>
          <w:szCs w:val="26"/>
        </w:rPr>
        <w:t>»</w:t>
      </w:r>
      <w:r w:rsidR="00AD36E6">
        <w:rPr>
          <w:b/>
          <w:spacing w:val="7"/>
          <w:sz w:val="26"/>
          <w:szCs w:val="26"/>
        </w:rPr>
        <w:t xml:space="preserve"> г. Калуги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03000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03000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03000">
              <w:rPr>
                <w:sz w:val="20"/>
                <w:szCs w:val="20"/>
              </w:rPr>
              <w:t>Тарифы для населения</w:t>
            </w:r>
            <w:r w:rsidR="00503000" w:rsidRPr="00503000">
              <w:rPr>
                <w:sz w:val="20"/>
                <w:szCs w:val="20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503000" w:rsidRDefault="00503000" w:rsidP="00503000">
      <w:pPr>
        <w:jc w:val="both"/>
        <w:rPr>
          <w:sz w:val="22"/>
          <w:szCs w:val="22"/>
        </w:rPr>
      </w:pPr>
      <w:r w:rsidRPr="00503000">
        <w:rPr>
          <w:sz w:val="22"/>
          <w:szCs w:val="22"/>
        </w:rPr>
        <w:t>&lt;*&gt;</w:t>
      </w:r>
      <w:r w:rsidR="001D2390">
        <w:rPr>
          <w:sz w:val="22"/>
          <w:szCs w:val="22"/>
        </w:rPr>
        <w:t xml:space="preserve"> </w:t>
      </w:r>
      <w:r w:rsidRPr="00503000">
        <w:rPr>
          <w:sz w:val="22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D2390" w:rsidRPr="00B223F8" w:rsidRDefault="001D2390" w:rsidP="001D239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27.11.2015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455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1D2390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1D2390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1D2390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DD3385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b/>
          <w:sz w:val="26"/>
          <w:szCs w:val="26"/>
        </w:rPr>
        <w:t>Калугаспецавтодор</w:t>
      </w:r>
      <w:proofErr w:type="spellEnd"/>
      <w:r w:rsidR="00DD3385">
        <w:rPr>
          <w:b/>
          <w:sz w:val="26"/>
          <w:szCs w:val="26"/>
        </w:rPr>
        <w:t>»</w:t>
      </w:r>
      <w:r w:rsidR="00AD36E6">
        <w:rPr>
          <w:b/>
          <w:sz w:val="26"/>
          <w:szCs w:val="26"/>
        </w:rPr>
        <w:t xml:space="preserve"> г. Калуги</w:t>
      </w:r>
    </w:p>
    <w:p w:rsidR="001D2390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9783,82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AC" w:rsidRDefault="00675FAC" w:rsidP="00AF6369">
      <w:r>
        <w:separator/>
      </w:r>
    </w:p>
  </w:endnote>
  <w:endnote w:type="continuationSeparator" w:id="0">
    <w:p w:rsidR="00675FAC" w:rsidRDefault="00675FA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AC" w:rsidRDefault="00675FAC" w:rsidP="00AF6369">
      <w:r>
        <w:separator/>
      </w:r>
    </w:p>
  </w:footnote>
  <w:footnote w:type="continuationSeparator" w:id="0">
    <w:p w:rsidR="00675FAC" w:rsidRDefault="00675FA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85"/>
    <w:rsid w:val="00000152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5ED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3F0A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0406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2390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3FB6"/>
    <w:rsid w:val="00224C8C"/>
    <w:rsid w:val="00225EBC"/>
    <w:rsid w:val="00232BA8"/>
    <w:rsid w:val="00232C56"/>
    <w:rsid w:val="002376D2"/>
    <w:rsid w:val="0024103C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4596"/>
    <w:rsid w:val="003052EE"/>
    <w:rsid w:val="0030654C"/>
    <w:rsid w:val="003068D3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09E9"/>
    <w:rsid w:val="004A4263"/>
    <w:rsid w:val="004A6315"/>
    <w:rsid w:val="004B4D5E"/>
    <w:rsid w:val="004E6FD0"/>
    <w:rsid w:val="004E7E39"/>
    <w:rsid w:val="004F327A"/>
    <w:rsid w:val="00502656"/>
    <w:rsid w:val="00503000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1A30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75FAC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5B6D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73B7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66A9"/>
    <w:rsid w:val="00A65B3F"/>
    <w:rsid w:val="00A65F31"/>
    <w:rsid w:val="00A85169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D36E6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21D2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3385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96A4B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218C-70A9-4125-A05E-46A6AB90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11</cp:revision>
  <cp:lastPrinted>2015-11-26T09:16:00Z</cp:lastPrinted>
  <dcterms:created xsi:type="dcterms:W3CDTF">2015-11-24T09:25:00Z</dcterms:created>
  <dcterms:modified xsi:type="dcterms:W3CDTF">2015-11-29T15:19:00Z</dcterms:modified>
</cp:coreProperties>
</file>